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Draft Your Assistant’s Instructions</w:t>
      </w:r>
    </w:p>
    <w:p>
      <w:pPr>
        <w:spacing w:after="160"/>
      </w:pPr>
      <w:r>
        <w:t xml:space="preserve">Real deployed HR assistants — like the ones running for Walton County Schools and Griffin-Spalding County Schools — are built from a consistent set of categories, not a single paragraph of instructions. This template gives you those same categories. Fill in what applies to your assistant; leave the rest for later. The boxed lines show the kind of rule that almost always belongs in this section — write your own version rather than copying it.</w:t>
      </w:r>
    </w:p>
    <w:p>
      <w:pPr>
        <w:pBdr>
          <w:bottom w:val="single" w:color="CCCCCC" w:sz="6" w:space="1"/>
        </w:pBdr>
        <w:spacing w:after="200" w:before="60"/>
      </w:pPr>
    </w:p>
    <w:p>
      <w:pPr>
        <w:pStyle w:val="Heading2"/>
      </w:pPr>
      <w:r>
        <w:t xml:space="preserve">1. Primary Function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Assistant name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Scope — the one topic this assistant covers, and nothing else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Be specific. "Leave policy" is a scope. "HR questions" is not.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Core goals — what should this assistant always do?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Examples from real assistants: answer only from approved content; protect employee privacy; ask a clarifying question when something is unclear; end each conversation on a positive note. Pick the ones that matter for your topic and add your own.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Style w:val="Heading2"/>
      </w:pPr>
      <w:r>
        <w:t xml:space="preserve">2. Persona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Name and voice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Does it have a name? Does it speak as if it works at your district?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Reading level and tone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Real examples: "plain language, about a 4th-grade reading level," "warm, supportive, and professional."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Opening acknowledgment — 2 to 3 lines it can open with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Example shape: "I’m happy to help you with that!" / "Good question, let’s take a look."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Response length rule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Example: keep the first answer brief (150 words or less); offer more detail if asked.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What it should never mention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Real assistants are told not to reference training data, source documents, or how they were built.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ageBreakBefore/>
      </w:pPr>
    </w:p>
    <w:p>
      <w:pPr>
        <w:pStyle w:val="Heading2"/>
      </w:pPr>
      <w:r>
        <w:t xml:space="preserve">3. Source Rule</w:t>
      </w:r>
    </w:p>
    <w:p>
      <w:pPr>
        <w:shd w:fill="F2F2F2" w:val="clear"/>
        <w:spacing w:after="100"/>
      </w:pPr>
      <w:r>
        <w:rPr>
          <w:color w:val="444444"/>
          <w:sz w:val="19"/>
          <w:szCs w:val="19"/>
        </w:rPr>
        <w:t xml:space="preserve">  Only answer using the approved content you provide. Never use outside knowledge, general knowledge, or guesses.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The approved content for this assistant is: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List the specific document(s) — e.g., "the Clear River Leave and Absences policy" — not just the general topic.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What should it never invent?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Real assistants name this explicitly: never invent contacts, deadlines, forms, rates, codes, or policy language that isn’t in the approved content.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Style w:val="Heading2"/>
      </w:pPr>
      <w:r>
        <w:t xml:space="preserve">4. Escalation and Routing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What can this assistant answer directly?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List 4 to 5 real example questions on your topic that are safe to answer outright — general, supported by your content, no individual record involved.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hd w:fill="F2F2F2" w:val="clear"/>
        <w:spacing w:after="100"/>
      </w:pPr>
      <w:r>
        <w:rPr>
          <w:color w:val="444444"/>
          <w:sz w:val="19"/>
          <w:szCs w:val="19"/>
        </w:rPr>
        <w:t xml:space="preserve">  Never access, check, or claim to view an individual employee’s personal records or account information.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Your refusal line for a personal-record request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What should it never calculate or predict for one specific person?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Payroll example: gross/net pay, step placement, or why one paycheck differed from another. Adapt this to your topic.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Handoff table — where does each situation go?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Trigger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Who to contact (name / phone / email)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Off-topic question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Personal record request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Low-confidence / not in content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Sensitive or specialized sub-topic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 </w:t>
            </w:r>
          </w:p>
        </w:tc>
      </w:tr>
    </w:tbl>
    <w:p>
      <w:pPr>
        <w:pageBreakBefore/>
      </w:pPr>
    </w:p>
    <w:p>
      <w:pPr>
        <w:pStyle w:val="Heading2"/>
      </w:pPr>
      <w:r>
        <w:t xml:space="preserve">5. Fallback Response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The line it uses when a question can’t be answered from approved content, is unclear, or needs a person. Real assistants often have more than one flavor — a default, plus one for each specialized handoff area.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Default fallback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Topic-specific fallback (optional)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E.g., a payroll assistant might have a separate line for tax questions; a certification assistant might have one for salary-placement questions.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Style w:val="Heading2"/>
      </w:pPr>
      <w:r>
        <w:t xml:space="preserve">6. Conversation Mechanics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Clarifying question examples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Pattern: "If the user asks about ___, ask whether they mean ___ or ___."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Redirect / refocus line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What it says when the conversation drifts off-topic, to bring the employee back to what it can help with.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Wrap-up message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Real assistants close every conversation the same way, often with a reminder to verify information before acting on it.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Style w:val="Heading2"/>
      </w:pPr>
      <w:r>
        <w:t xml:space="preserve">7. Bot Settings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These live in the platform, not the instructions field — but plan them now so Activity 3 goes faster.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Intro message — the first thing an employee sees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spacing w:after="40" w:before="160"/>
      </w:pPr>
      <w:r>
        <w:rPr>
          <w:b/>
          <w:bCs/>
          <w:color w:val="004F6E"/>
          <w:sz w:val="21"/>
          <w:szCs w:val="21"/>
        </w:rPr>
        <w:t xml:space="preserve">Footer / disclaimer text</w:t>
      </w:r>
    </w:p>
    <w:p>
      <w:pPr>
        <w:spacing w:after="100"/>
      </w:pPr>
      <w:r>
        <w:rPr>
          <w:i/>
          <w:iCs/>
          <w:color w:val="595959"/>
          <w:sz w:val="19"/>
          <w:szCs w:val="19"/>
        </w:rPr>
        <w:t xml:space="preserve">Example: a reminder not to enter Social Security numbers, passwords, or other sensitive information in the chat.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Bdr>
          <w:bottom w:val="single" w:color="BFBFBF" w:sz="4" w:space="1"/>
        </w:pBdr>
        <w:spacing w:after="120"/>
      </w:pPr>
      <w:r>
        <w:t xml:space="preserve"> </w:t>
      </w:r>
    </w:p>
    <w:p>
      <w:pPr>
        <w:pageBreakBefore/>
      </w:pPr>
    </w:p>
    <w:p>
      <w:pPr>
        <w:pStyle w:val="Heading2"/>
      </w:pPr>
      <w:r>
        <w:t xml:space="preserve">Assembling It</w:t>
      </w:r>
    </w:p>
    <w:p>
      <w:pPr>
        <w:spacing w:after="160"/>
      </w:pPr>
      <w:r>
        <w:t xml:space="preserve">Once the sections above are filled in, most platforms want them combined into a single instructions field. A simple starting shape: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F7E9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00"/>
            </w:pPr>
            <w:r>
              <w:rPr>
                <w:b/>
                <w:bCs/>
              </w:rPr>
              <w:t xml:space="preserve">#Primary Function</w:t>
            </w:r>
          </w:p>
          <w:p>
            <w:pPr>
              <w:spacing w:after="100"/>
            </w:pPr>
            <w:r>
              <w:rPr>
                <w:i/>
                <w:iCs/>
                <w:color w:val="595959"/>
              </w:rPr>
              <w:t xml:space="preserve">[Name, scope, and goals from Section 1]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#Persona</w:t>
            </w:r>
          </w:p>
          <w:p>
            <w:pPr>
              <w:spacing w:after="100"/>
            </w:pPr>
            <w:r>
              <w:rPr>
                <w:i/>
                <w:iCs/>
                <w:color w:val="595959"/>
              </w:rPr>
              <w:t xml:space="preserve">[Voice, tone, and opening lines from Section 2]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#Core Constraints</w:t>
            </w:r>
          </w:p>
          <w:p>
            <w:pPr>
              <w:spacing w:after="100"/>
            </w:pPr>
            <w:r>
              <w:rPr>
                <w:i/>
                <w:iCs/>
                <w:color w:val="595959"/>
              </w:rPr>
              <w:t xml:space="preserve">[Source rule, escalation, invention limits, and fallback from Sections 3–5]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#Redirect and Refocus / #Wrap-up Message</w:t>
            </w:r>
          </w:p>
          <w:p>
            <w:r>
              <w:rPr>
                <w:i/>
                <w:iCs/>
                <w:color w:val="595959"/>
              </w:rPr>
              <w:t xml:space="preserve">[From Section 6]</w:t>
            </w:r>
          </w:p>
        </w:tc>
      </w:tr>
    </w:tbl>
    <w:p>
      <w:pPr>
        <w:spacing w:before="200"/>
      </w:pPr>
      <w:r>
        <w:rPr>
          <w:i/>
          <w:iCs/>
        </w:rPr>
        <w:t xml:space="preserve">Break-test it once it’s built: try a personal-record question, an off-topic question, and a real, messy question pulled from your own inbox.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BD150" w:sz="6" w:space="4"/>
      </w:pBdr>
      <w:tabs>
        <w:tab w:val="right" w:pos="9026"/>
      </w:tabs>
    </w:pPr>
    <w:r>
      <w:drawing>
        <wp:inline distT="0" distB="0" distL="0" distR="0">
          <wp:extent cx="190500" cy="190500"/>
          <wp:effectExtent t="0" r="0" b="0" l="0"/>
          <wp:docPr id="1" name="CCCG logo" descr="Clear Concepts Consulting Group logo" title="CC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4F6E"/>
        <w:sz w:val="16"/>
        <w:szCs w:val="16"/>
      </w:rPr>
      <w:t xml:space="preserve">  Clear Concepts Consulting Group  |  OSPA Workshop 2026</w:t>
    </w:r>
    <w:r>
      <w:rPr>
        <w:color w:val="595959"/>
        <w:sz w:val="16"/>
        <w:szCs w:val="16"/>
      </w:rPr>
      <w:t xml:space="preserve">	Instructions Draft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5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5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ABD150" w:sz="8" w:space="4"/>
      </w:pBdr>
      <w:spacing w:after="160" w:before="120"/>
      <w:outlineLvl w:val="0"/>
    </w:pPr>
    <w:rPr>
      <w:rFonts w:ascii="Georgia" w:cs="Georgia" w:eastAsia="Georgia" w:hAnsi="Georgia"/>
      <w:b/>
      <w:bCs/>
      <w:color w:val="004F6E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Georgia" w:cs="Georgia" w:eastAsia="Georgia" w:hAnsi="Georgia"/>
      <w:b/>
      <w:bCs/>
      <w:color w:val="004F6E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8AAA3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e95ab6d7a6bdd22a532c810ce8627d25d168bcb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2026-07-02T12:42:28.016Z</dcterms:created>
  <dcterms:modified xsi:type="dcterms:W3CDTF">2026-07-02T12:42:28.016Z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